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b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b/>
          <w:sz w:val="22"/>
          <w:szCs w:val="22"/>
          <w:lang w:val="pt-PT"/>
        </w:rPr>
        <w:t>Do consentimento para a utilização de testemunhos de conexão (</w:t>
      </w:r>
      <w:r w:rsidRPr="001E6F48">
        <w:rPr>
          <w:rFonts w:ascii="Book Antiqua" w:hAnsi="Book Antiqua" w:cs="Times New Roman"/>
          <w:b/>
          <w:i/>
          <w:sz w:val="22"/>
          <w:szCs w:val="22"/>
          <w:lang w:val="pt-PT"/>
        </w:rPr>
        <w:t>cookies</w:t>
      </w:r>
      <w:r w:rsidRPr="001E6F48">
        <w:rPr>
          <w:rFonts w:ascii="Book Antiqua" w:hAnsi="Book Antiqua" w:cs="Times New Roman"/>
          <w:b/>
          <w:sz w:val="22"/>
          <w:szCs w:val="22"/>
          <w:lang w:val="pt-PT"/>
        </w:rPr>
        <w:t>)</w:t>
      </w:r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i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 xml:space="preserve">Emília </w:t>
      </w:r>
      <w:proofErr w:type="spell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Golim</w:t>
      </w:r>
      <w:proofErr w:type="spellEnd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 xml:space="preserve"> </w:t>
      </w:r>
      <w:proofErr w:type="spell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Fontaínhas</w:t>
      </w:r>
      <w:proofErr w:type="spellEnd"/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i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Francisco Andrade</w:t>
      </w:r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i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José Bacelar Almeida</w:t>
      </w:r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Style w:val="Ttulo1Carcter"/>
          <w:rFonts w:ascii="Book Antiqua" w:hAnsi="Book Antiqua" w:cs="Times New Roman"/>
          <w:b/>
          <w:sz w:val="22"/>
          <w:szCs w:val="22"/>
          <w:lang w:val="pt-PT"/>
        </w:rPr>
        <w:t>Resumo: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O n.º 3 do 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art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>. 5.º da Diretiva da Privacidade Eletrónica (Diretiva 2002/58/CE) estabelece os requisitos para o armazenamento e acesso a informação armazenada no terminal do utilizador ou assinante. Esta norma aplica-se à utilização de testemunhos de conexão (</w:t>
      </w: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cookies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), entendidos na 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acepção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da definição dada pela norma RFC 6265 da Internet 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Engineering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Task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Force (IETF). </w:t>
      </w:r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sz w:val="22"/>
          <w:szCs w:val="22"/>
          <w:lang w:val="pt-PT"/>
        </w:rPr>
        <w:t>Na sua versão original, a Diretiva da Privacidade Eletrónica permitia a utilização de redes de comunicações eletrónicas para a armazenagem de informações ou para obter acesso à informação armazenada no equipamento terminal de um assinante ou utilizador, na condição de serem prestadas ao assinante ou utilizador informações claras e completas, nomeadamente sobre as finalidades do processamento, e de, cumulativamente</w:t>
      </w:r>
      <w:proofErr w:type="gramStart"/>
      <w:r w:rsidRPr="001E6F48">
        <w:rPr>
          <w:rFonts w:ascii="Book Antiqua" w:hAnsi="Book Antiqua" w:cs="Times New Roman"/>
          <w:sz w:val="22"/>
          <w:szCs w:val="22"/>
          <w:lang w:val="pt-PT"/>
        </w:rPr>
        <w:t>,</w:t>
      </w:r>
      <w:proofErr w:type="gram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lhe ser garantido o direito de recusar o tratamento (direito de autoexclusão ou direito de </w:t>
      </w:r>
      <w:proofErr w:type="spell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opt</w:t>
      </w:r>
      <w:proofErr w:type="spellEnd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-out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). Em 2009, a Diretiva dos Cidadãos (Diretiva 2009/136/CE) veio dar uma nova redação ao n.º 3 do 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art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. 5.º da Diretiva da Privacidade Eletrónica e passou a fazer depender a utilização de </w:t>
      </w:r>
      <w:proofErr w:type="gram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cookies</w:t>
      </w:r>
      <w:proofErr w:type="gram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da prévia obtenção do consentimento da pessoa em causa (direito de </w:t>
      </w:r>
      <w:proofErr w:type="spell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opt</w:t>
      </w:r>
      <w:proofErr w:type="spellEnd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-in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>).</w:t>
      </w:r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O novo requisito de consentimento veio abalar as práticas correntes no que respeita à utilização de </w:t>
      </w:r>
      <w:proofErr w:type="gram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cookie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>s</w:t>
      </w:r>
      <w:proofErr w:type="gram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e está na base de um aceso debate sustentado pelas dúvidas acerca da sua interpretação e condições de implementação prática.</w:t>
      </w:r>
    </w:p>
    <w:p w:rsidR="00080904" w:rsidRPr="001E6F48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Procuramos, com este trabalho, contribuir para o esclarecimento dos conceitos de </w:t>
      </w:r>
      <w:proofErr w:type="gram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cookies</w:t>
      </w:r>
      <w:proofErr w:type="gramEnd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 xml:space="preserve"> 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>e de consentimento enquanto fundamento legitimante para a sua utilização.</w:t>
      </w:r>
    </w:p>
    <w:p w:rsidR="006000D4" w:rsidRDefault="00080904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Style w:val="Ttulo1Carcter"/>
          <w:rFonts w:ascii="Book Antiqua" w:hAnsi="Book Antiqua" w:cs="Times New Roman"/>
          <w:b/>
          <w:sz w:val="22"/>
          <w:szCs w:val="22"/>
          <w:lang w:val="pt-PT"/>
        </w:rPr>
        <w:t>Palavras-chave: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Testemunhos de conexão / </w:t>
      </w: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Cookies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/ </w:t>
      </w: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Web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</w:t>
      </w:r>
      <w:proofErr w:type="gram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cookies</w:t>
      </w:r>
      <w:proofErr w:type="gram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/ Consentimento/ </w:t>
      </w:r>
      <w:proofErr w:type="spellStart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opt</w:t>
      </w:r>
      <w:proofErr w:type="spellEnd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-in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/ Privacidade eletrónica</w:t>
      </w:r>
    </w:p>
    <w:p w:rsidR="009B7D7C" w:rsidRDefault="009B7D7C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</w:p>
    <w:p w:rsidR="009B7D7C" w:rsidRPr="003B3755" w:rsidRDefault="009B7D7C" w:rsidP="009B7D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B3755">
        <w:rPr>
          <w:rFonts w:ascii="Book Antiqua" w:hAnsi="Book Antiqua"/>
          <w:b/>
          <w:sz w:val="22"/>
          <w:szCs w:val="22"/>
        </w:rPr>
        <w:t>Resolução de conflitos de consumo em linha em Portugal e na União Europeia – A plataforma europeia de resolução de conflitos em linha (RLL)</w:t>
      </w:r>
    </w:p>
    <w:p w:rsidR="009B7D7C" w:rsidRPr="003B3755" w:rsidRDefault="009B7D7C" w:rsidP="009B7D7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i/>
          <w:sz w:val="22"/>
          <w:szCs w:val="22"/>
        </w:rPr>
      </w:pPr>
      <w:r w:rsidRPr="003B3755">
        <w:rPr>
          <w:rFonts w:ascii="Book Antiqua" w:hAnsi="Book Antiqua"/>
          <w:i/>
          <w:sz w:val="22"/>
          <w:szCs w:val="22"/>
        </w:rPr>
        <w:t>Fernando Viana</w:t>
      </w:r>
      <w:r w:rsidRPr="003B3755">
        <w:rPr>
          <w:rFonts w:ascii="Book Antiqua" w:hAnsi="Book Antiqua"/>
          <w:i/>
          <w:sz w:val="22"/>
          <w:szCs w:val="22"/>
          <w:lang w:val="pt-BR"/>
        </w:rPr>
        <w:t xml:space="preserve">  </w:t>
      </w:r>
    </w:p>
    <w:p w:rsidR="009B7D7C" w:rsidRPr="003B3755" w:rsidRDefault="009B7D7C" w:rsidP="009B7D7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i/>
          <w:sz w:val="22"/>
          <w:szCs w:val="22"/>
        </w:rPr>
      </w:pPr>
      <w:r w:rsidRPr="003B3755">
        <w:rPr>
          <w:rFonts w:ascii="Book Antiqua" w:hAnsi="Book Antiqua"/>
          <w:i/>
          <w:sz w:val="22"/>
          <w:szCs w:val="22"/>
        </w:rPr>
        <w:t>Francisco Andrade</w:t>
      </w:r>
    </w:p>
    <w:p w:rsidR="009B7D7C" w:rsidRPr="003B3755" w:rsidRDefault="009B7D7C" w:rsidP="009B7D7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i/>
          <w:sz w:val="22"/>
          <w:szCs w:val="22"/>
        </w:rPr>
      </w:pPr>
      <w:r w:rsidRPr="003B3755">
        <w:rPr>
          <w:rFonts w:ascii="Book Antiqua" w:hAnsi="Book Antiqua"/>
          <w:i/>
          <w:sz w:val="22"/>
          <w:szCs w:val="22"/>
        </w:rPr>
        <w:t>Paulo Novais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hAnsi="Book Antiqua"/>
          <w:b/>
          <w:sz w:val="22"/>
          <w:szCs w:val="22"/>
          <w:lang w:val="pt-PT"/>
        </w:rPr>
        <w:t xml:space="preserve">Resumo: </w:t>
      </w:r>
      <w:r w:rsidRPr="001E6F48">
        <w:rPr>
          <w:rFonts w:ascii="Book Antiqua" w:hAnsi="Book Antiqua"/>
          <w:sz w:val="22"/>
          <w:szCs w:val="22"/>
          <w:lang w:val="pt-PT"/>
        </w:rPr>
        <w:t>O processo de mudança social é cada vez mais célere e imprevisível, afetando todas as dimensões da vida das pessoas e das sociedades, à qual não escapa a justiça.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hAnsi="Book Antiqua"/>
          <w:sz w:val="22"/>
          <w:szCs w:val="22"/>
          <w:lang w:val="pt-PT"/>
        </w:rPr>
        <w:t>A sociedade de consumo, em que vivemos e que conhece hoje uma grande complexidade, fruto do desenvolvimento socioeconómico, das tecnologias e do Direito inclusive, é atualmente uma área de grande conflitualidade.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proofErr w:type="gramStart"/>
      <w:r w:rsidRPr="001E6F48">
        <w:rPr>
          <w:rFonts w:ascii="Book Antiqua" w:hAnsi="Book Antiqua"/>
          <w:sz w:val="22"/>
          <w:szCs w:val="22"/>
          <w:lang w:val="pt-PT"/>
        </w:rPr>
        <w:t>A globalização dos mercados, a existência de espaços de integração económica como a União Europeia, em que as fronteiras praticamente desapareceram, requerem</w:t>
      </w:r>
      <w:proofErr w:type="gramEnd"/>
      <w:r w:rsidRPr="001E6F48">
        <w:rPr>
          <w:rFonts w:ascii="Book Antiqua" w:hAnsi="Book Antiqua"/>
          <w:sz w:val="22"/>
          <w:szCs w:val="22"/>
          <w:lang w:val="pt-PT"/>
        </w:rPr>
        <w:t xml:space="preserve"> sistemas de resolução de conflitos capazes de responder em tempo útil às exigências dos cidadãos e das empresas.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hAnsi="Book Antiqua"/>
          <w:sz w:val="22"/>
          <w:szCs w:val="22"/>
          <w:lang w:val="pt-PT"/>
        </w:rPr>
        <w:t xml:space="preserve">Face à impossibilidade de os Estados assegurarem o funcionamento do sistema de justiça meramente suportado em tribunais judiciais, o século XX assistiu ao aparecimento e desenvolvimento de diversos meios de resolução alternativa de litígios </w:t>
      </w:r>
      <w:r w:rsidRPr="001E6F48">
        <w:rPr>
          <w:rFonts w:ascii="Book Antiqua" w:hAnsi="Book Antiqua"/>
          <w:sz w:val="22"/>
          <w:szCs w:val="22"/>
          <w:lang w:val="pt-PT"/>
        </w:rPr>
        <w:lastRenderedPageBreak/>
        <w:t>(RAL), em especial na área do consumo (RALC), em que Portugal constitui um exemplo marcante.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hAnsi="Book Antiqua"/>
          <w:sz w:val="22"/>
          <w:szCs w:val="22"/>
          <w:lang w:val="pt-PT"/>
        </w:rPr>
        <w:t xml:space="preserve">Entretanto, o início do século XXI conheceu um grande desenvolvimento das tecnologias da informação e comunicação (TIC), com particular projeção na Internet, o que levanta um conjunto novo de desafios, que obrigam a redesenhar a RAL, nesta área convertida em resolução de litígios em linha (RLL). 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hAnsi="Book Antiqua"/>
          <w:sz w:val="22"/>
          <w:szCs w:val="22"/>
          <w:lang w:val="pt-PT"/>
        </w:rPr>
        <w:t>O presente artigo perpassa por estes temas, designadamente pelos instrumentos legais comunitários (Diretiva RAL e Regulamento RLL) que determinaram a institucionalização na União Europeia de meios efetivos de resolução de conflitos de consumo, incluindo a resolução em linha, materializada recentemente na disponibilização aos consumidores e às empresas de uma Plataforma para a RLL.</w:t>
      </w:r>
    </w:p>
    <w:p w:rsidR="009B7D7C" w:rsidRPr="001E6F48" w:rsidRDefault="009B7D7C" w:rsidP="009B7D7C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/>
          <w:b/>
          <w:sz w:val="22"/>
          <w:szCs w:val="22"/>
          <w:lang w:val="pt-PT"/>
        </w:rPr>
        <w:t xml:space="preserve">Palavras-chave: </w:t>
      </w:r>
      <w:r w:rsidRPr="001E6F48">
        <w:rPr>
          <w:rFonts w:ascii="Book Antiqua" w:hAnsi="Book Antiqua"/>
          <w:sz w:val="22"/>
          <w:szCs w:val="22"/>
          <w:lang w:val="pt-PT"/>
        </w:rPr>
        <w:t>Resolução alternativa de litígios (RAL) / Resolução alternativa de litígios de consumo (RALC) / Mediação, conciliação, arbitragem, resolução de litígios em linha (RLL) / Plataforma de RLL</w:t>
      </w:r>
    </w:p>
    <w:p w:rsidR="00D70318" w:rsidRPr="001E6F48" w:rsidRDefault="00D70318" w:rsidP="001E6F48">
      <w:pPr>
        <w:spacing w:before="0" w:line="276" w:lineRule="auto"/>
        <w:rPr>
          <w:rFonts w:ascii="Book Antiqua" w:hAnsi="Book Antiqua" w:cs="Times New Roman"/>
          <w:sz w:val="22"/>
          <w:szCs w:val="22"/>
          <w:lang w:val="pt-PT"/>
        </w:rPr>
      </w:pPr>
    </w:p>
    <w:p w:rsidR="001E6F48" w:rsidRPr="001E6F48" w:rsidRDefault="00D70318" w:rsidP="001E6F48">
      <w:pPr>
        <w:spacing w:before="0" w:line="276" w:lineRule="auto"/>
        <w:ind w:firstLine="0"/>
        <w:rPr>
          <w:rFonts w:ascii="Book Antiqua" w:hAnsi="Book Antiqua" w:cs="Times New Roman"/>
          <w:b/>
          <w:sz w:val="22"/>
          <w:szCs w:val="22"/>
          <w:lang w:val="pt-PT"/>
        </w:rPr>
      </w:pPr>
      <w:bookmarkStart w:id="0" w:name="_GoBack"/>
      <w:bookmarkEnd w:id="0"/>
      <w:r w:rsidRPr="001E6F48">
        <w:rPr>
          <w:rFonts w:ascii="Book Antiqua" w:hAnsi="Book Antiqua" w:cs="Times New Roman"/>
          <w:b/>
          <w:sz w:val="22"/>
          <w:szCs w:val="22"/>
          <w:lang w:val="pt-PT"/>
        </w:rPr>
        <w:t>O princípio geral da livre interoperabilidade</w:t>
      </w:r>
      <w:r w:rsidRPr="001E6F48">
        <w:rPr>
          <w:rFonts w:ascii="Book Antiqua" w:hAnsi="Book Antiqua" w:cs="Times New Roman"/>
          <w:b/>
          <w:sz w:val="22"/>
          <w:szCs w:val="22"/>
          <w:vertAlign w:val="superscript"/>
          <w:lang w:val="pt-PT"/>
        </w:rPr>
        <w:t xml:space="preserve"> </w:t>
      </w:r>
    </w:p>
    <w:p w:rsidR="00D70318" w:rsidRPr="001E6F48" w:rsidRDefault="00D70318" w:rsidP="001E6F48">
      <w:pPr>
        <w:spacing w:before="0" w:line="276" w:lineRule="auto"/>
        <w:ind w:firstLine="0"/>
        <w:rPr>
          <w:rFonts w:ascii="Book Antiqua" w:hAnsi="Book Antiqua" w:cs="Times New Roman"/>
          <w:b/>
          <w:i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Pedro Dias Venâncio</w:t>
      </w:r>
    </w:p>
    <w:p w:rsidR="00D70318" w:rsidRPr="001E6F48" w:rsidRDefault="00D70318" w:rsidP="001E6F48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b/>
          <w:sz w:val="22"/>
          <w:szCs w:val="22"/>
          <w:lang w:val="pt-PT"/>
        </w:rPr>
        <w:t>Resumo:</w:t>
      </w:r>
      <w:r w:rsidRPr="001E6F48">
        <w:rPr>
          <w:rFonts w:ascii="Book Antiqua" w:hAnsi="Book Antiqua"/>
          <w:sz w:val="22"/>
          <w:szCs w:val="22"/>
          <w:lang w:val="pt-PT"/>
        </w:rPr>
        <w:t xml:space="preserve"> A 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>interoperabilidade é definida no ordenamento jurídico português como “</w:t>
      </w:r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>a capacidade de dois ou mais sistemas, designadamente computadores, meios de comunicação, redes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, </w:t>
      </w:r>
      <w:proofErr w:type="gramStart"/>
      <w:r w:rsidRPr="001E6F48">
        <w:rPr>
          <w:rFonts w:ascii="Book Antiqua" w:hAnsi="Book Antiqua" w:cs="Times New Roman"/>
          <w:sz w:val="22"/>
          <w:szCs w:val="22"/>
          <w:lang w:val="pt-PT"/>
        </w:rPr>
        <w:t>software</w:t>
      </w:r>
      <w:proofErr w:type="gramEnd"/>
      <w:r w:rsidRPr="001E6F48">
        <w:rPr>
          <w:rFonts w:ascii="Book Antiqua" w:hAnsi="Book Antiqua" w:cs="Times New Roman"/>
          <w:i/>
          <w:sz w:val="22"/>
          <w:szCs w:val="22"/>
          <w:lang w:val="pt-PT"/>
        </w:rPr>
        <w:t xml:space="preserve"> e outros componentes de tecnologia da informação, de interagir e de trocar dados de acordo com um método definido de forma a obter os resultados esperados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>” (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art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>. 3.º, n.º 2, da Lei n.º 36/2011, de 21/6).</w:t>
      </w:r>
    </w:p>
    <w:p w:rsidR="00D70318" w:rsidRPr="001E6F48" w:rsidRDefault="00D70318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sz w:val="22"/>
          <w:szCs w:val="22"/>
          <w:lang w:val="pt-PT"/>
        </w:rPr>
        <w:t>No seio das Tecnologias da Informação e da Comunicação (TIC) vem sendo internacionalmente reconhecido que a interoperabilidade é fundamental para a realização da liberdade de escolha de produtos digitais, da promoção da diversidade cultural, da concorrência e da inovação, e com isto também do desenvolvimento económico.</w:t>
      </w:r>
    </w:p>
    <w:p w:rsidR="00D70318" w:rsidRPr="001E6F48" w:rsidRDefault="00D70318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O reconhecimento da essencialidade da interoperabilidade para a realização destes valores tem levado os Estados, em particular no seio da União Europeia, a consagrar nas </w:t>
      </w:r>
      <w:proofErr w:type="spellStart"/>
      <w:r w:rsidRPr="001E6F48">
        <w:rPr>
          <w:rFonts w:ascii="Book Antiqua" w:hAnsi="Book Antiqua" w:cs="Times New Roman"/>
          <w:sz w:val="22"/>
          <w:szCs w:val="22"/>
          <w:lang w:val="pt-PT"/>
        </w:rPr>
        <w:t>respectivas</w:t>
      </w:r>
      <w:proofErr w:type="spellEnd"/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legislações normas que promovem e visam garantir a interoperabilidade dos bens digitais.</w:t>
      </w:r>
    </w:p>
    <w:p w:rsidR="00D70318" w:rsidRPr="001E6F48" w:rsidRDefault="00D70318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sz w:val="22"/>
          <w:szCs w:val="22"/>
          <w:lang w:val="pt-PT"/>
        </w:rPr>
        <w:t>É este conjunto de normas que iremos abordar no nosso artigo e que entendemos realizar um verdadeiro princípio geral de livre interoperabilidade no seio das Tecnologias da Informação e da Comunicação.</w:t>
      </w:r>
    </w:p>
    <w:p w:rsidR="00D70318" w:rsidRPr="001E6F48" w:rsidRDefault="00D70318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1E6F48">
        <w:rPr>
          <w:rFonts w:ascii="Book Antiqua" w:hAnsi="Book Antiqua" w:cs="Times New Roman"/>
          <w:b/>
          <w:sz w:val="22"/>
          <w:szCs w:val="22"/>
          <w:lang w:val="pt-PT"/>
        </w:rPr>
        <w:t>Palavras-chave:</w:t>
      </w:r>
      <w:r w:rsidRPr="001E6F48">
        <w:rPr>
          <w:rFonts w:ascii="Book Antiqua" w:hAnsi="Book Antiqua" w:cs="Times New Roman"/>
          <w:sz w:val="22"/>
          <w:szCs w:val="22"/>
          <w:lang w:val="pt-PT"/>
        </w:rPr>
        <w:t xml:space="preserve"> Bens digitais / Programas de Computador / TIC / Interoperabilidade / Descompilação / Utilizador legítimo</w:t>
      </w:r>
    </w:p>
    <w:p w:rsidR="0037406D" w:rsidRPr="001E6F48" w:rsidRDefault="0037406D" w:rsidP="001E6F48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</w:p>
    <w:p w:rsidR="0037406D" w:rsidRPr="001E6F48" w:rsidRDefault="0037406D" w:rsidP="001E6F48">
      <w:pPr>
        <w:spacing w:before="0" w:line="276" w:lineRule="auto"/>
        <w:ind w:firstLine="0"/>
        <w:rPr>
          <w:rFonts w:ascii="Book Antiqua" w:eastAsia="Calibri" w:hAnsi="Book Antiqua" w:cs="Times New Roman"/>
          <w:b/>
          <w:sz w:val="22"/>
          <w:szCs w:val="22"/>
          <w:lang w:val="pt-PT"/>
        </w:rPr>
      </w:pPr>
      <w:r w:rsidRPr="001E6F48">
        <w:rPr>
          <w:rFonts w:ascii="Book Antiqua" w:eastAsia="Calibri" w:hAnsi="Book Antiqua" w:cs="Times New Roman"/>
          <w:b/>
          <w:sz w:val="22"/>
          <w:szCs w:val="22"/>
          <w:lang w:val="pt-PT"/>
        </w:rPr>
        <w:t xml:space="preserve">A </w:t>
      </w:r>
      <w:proofErr w:type="spellStart"/>
      <w:r w:rsidRPr="001E6F48">
        <w:rPr>
          <w:rFonts w:ascii="Book Antiqua" w:eastAsia="Calibri" w:hAnsi="Book Antiqua" w:cs="Times New Roman"/>
          <w:b/>
          <w:sz w:val="22"/>
          <w:szCs w:val="22"/>
          <w:lang w:val="pt-PT"/>
        </w:rPr>
        <w:t>protecção</w:t>
      </w:r>
      <w:proofErr w:type="spellEnd"/>
      <w:r w:rsidRPr="001E6F48">
        <w:rPr>
          <w:rFonts w:ascii="Book Antiqua" w:eastAsia="Calibri" w:hAnsi="Book Antiqua" w:cs="Times New Roman"/>
          <w:b/>
          <w:sz w:val="22"/>
          <w:szCs w:val="22"/>
          <w:lang w:val="pt-PT"/>
        </w:rPr>
        <w:t xml:space="preserve"> dos menores na sociedade da informação: desafios criados pelas redes sociais </w:t>
      </w:r>
    </w:p>
    <w:p w:rsidR="0037406D" w:rsidRPr="001E6F48" w:rsidRDefault="0037406D" w:rsidP="001E6F48">
      <w:pPr>
        <w:spacing w:before="0" w:line="276" w:lineRule="auto"/>
        <w:ind w:firstLine="0"/>
        <w:contextualSpacing/>
        <w:rPr>
          <w:rFonts w:ascii="Book Antiqua" w:eastAsia="Calibri" w:hAnsi="Book Antiqua" w:cs="Times New Roman"/>
          <w:i/>
          <w:sz w:val="22"/>
          <w:szCs w:val="22"/>
          <w:lang w:val="pt-PT"/>
        </w:rPr>
      </w:pPr>
      <w:r w:rsidRPr="001E6F48">
        <w:rPr>
          <w:rFonts w:ascii="Book Antiqua" w:eastAsia="Calibri" w:hAnsi="Book Antiqua" w:cs="Times New Roman"/>
          <w:i/>
          <w:sz w:val="22"/>
          <w:szCs w:val="22"/>
          <w:lang w:val="pt-PT"/>
        </w:rPr>
        <w:t>Tiago Cecílio</w:t>
      </w:r>
    </w:p>
    <w:p w:rsidR="0037406D" w:rsidRPr="001E6F48" w:rsidRDefault="0037406D" w:rsidP="001E6F48">
      <w:pPr>
        <w:spacing w:before="0" w:line="276" w:lineRule="auto"/>
        <w:ind w:firstLine="0"/>
        <w:contextualSpacing/>
        <w:rPr>
          <w:rFonts w:ascii="Book Antiqua" w:eastAsia="Calibri" w:hAnsi="Book Antiqua" w:cs="Times New Roman"/>
          <w:i/>
          <w:sz w:val="22"/>
          <w:szCs w:val="22"/>
          <w:lang w:val="pt-PT"/>
        </w:rPr>
      </w:pPr>
      <w:r w:rsidRPr="001E6F48">
        <w:rPr>
          <w:rFonts w:ascii="Book Antiqua" w:eastAsia="Calibri" w:hAnsi="Book Antiqua" w:cs="Times New Roman"/>
          <w:i/>
          <w:sz w:val="22"/>
          <w:szCs w:val="22"/>
          <w:lang w:val="pt-PT"/>
        </w:rPr>
        <w:t>Teresa Coelho Moreira</w:t>
      </w:r>
    </w:p>
    <w:p w:rsidR="0037406D" w:rsidRPr="001E6F48" w:rsidRDefault="0037406D" w:rsidP="001E6F48">
      <w:pPr>
        <w:spacing w:before="0" w:line="276" w:lineRule="auto"/>
        <w:ind w:firstLine="0"/>
        <w:contextualSpacing/>
        <w:rPr>
          <w:rFonts w:ascii="Book Antiqua" w:eastAsia="Calibri" w:hAnsi="Book Antiqua" w:cs="Times New Roman"/>
          <w:i/>
          <w:sz w:val="22"/>
          <w:szCs w:val="22"/>
          <w:lang w:val="pt-PT"/>
        </w:rPr>
      </w:pPr>
      <w:r w:rsidRPr="001E6F48">
        <w:rPr>
          <w:rFonts w:ascii="Book Antiqua" w:eastAsia="Calibri" w:hAnsi="Book Antiqua" w:cs="Times New Roman"/>
          <w:i/>
          <w:sz w:val="22"/>
          <w:szCs w:val="22"/>
          <w:lang w:val="pt-PT"/>
        </w:rPr>
        <w:t>Alexandre Santos</w:t>
      </w:r>
    </w:p>
    <w:p w:rsidR="0037406D" w:rsidRPr="001E6F48" w:rsidRDefault="0037406D" w:rsidP="001E6F48">
      <w:pPr>
        <w:spacing w:before="0" w:line="276" w:lineRule="auto"/>
        <w:ind w:firstLine="0"/>
        <w:rPr>
          <w:rFonts w:ascii="Book Antiqua" w:eastAsia="Calibri" w:hAnsi="Book Antiqua" w:cs="Times New Roman"/>
          <w:sz w:val="22"/>
          <w:szCs w:val="22"/>
          <w:lang w:val="pt-PT"/>
        </w:rPr>
      </w:pPr>
      <w:r w:rsidRPr="001E6F48">
        <w:rPr>
          <w:rFonts w:ascii="Book Antiqua" w:eastAsia="Calibri" w:hAnsi="Book Antiqua" w:cs="Times New Roman"/>
          <w:b/>
          <w:sz w:val="22"/>
          <w:szCs w:val="22"/>
          <w:lang w:val="pt-PT"/>
        </w:rPr>
        <w:t>Resumo:</w:t>
      </w:r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 xml:space="preserve"> As redes sociais em linha ocupam hoje um papel central na vida dos utilizadores da </w:t>
      </w:r>
      <w:r w:rsidRPr="001E6F48">
        <w:rPr>
          <w:rFonts w:ascii="Book Antiqua" w:eastAsia="Calibri" w:hAnsi="Book Antiqua" w:cs="Times New Roman"/>
          <w:i/>
          <w:sz w:val="22"/>
          <w:szCs w:val="22"/>
          <w:lang w:val="pt-PT"/>
        </w:rPr>
        <w:t>Internet</w:t>
      </w:r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 xml:space="preserve">. Os riscos inerentes à utilização destas ferramentas são diversos </w:t>
      </w:r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lastRenderedPageBreak/>
        <w:t xml:space="preserve">e agravam-se quando estamos perante utilizadores menores de idade. Sucede que as soluções apresentadas pelos vários agentes implicados não têm permitido que seja assegurada uma </w:t>
      </w:r>
      <w:proofErr w:type="spellStart"/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>efectiva</w:t>
      </w:r>
      <w:proofErr w:type="spellEnd"/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 xml:space="preserve"> </w:t>
      </w:r>
      <w:proofErr w:type="spellStart"/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>protecção</w:t>
      </w:r>
      <w:proofErr w:type="spellEnd"/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 xml:space="preserve"> dos dados pessoais dos utilizadores menores.</w:t>
      </w:r>
    </w:p>
    <w:p w:rsidR="0037406D" w:rsidRPr="001E6F48" w:rsidRDefault="0037406D" w:rsidP="001E6F48">
      <w:pPr>
        <w:spacing w:before="0" w:line="276" w:lineRule="auto"/>
        <w:ind w:firstLine="0"/>
        <w:rPr>
          <w:rFonts w:ascii="Book Antiqua" w:eastAsia="Calibri" w:hAnsi="Book Antiqua" w:cs="Times New Roman"/>
          <w:b/>
          <w:sz w:val="22"/>
          <w:szCs w:val="22"/>
          <w:highlight w:val="yellow"/>
          <w:lang w:val="pt-PT"/>
        </w:rPr>
      </w:pPr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>Vamos assim procurar perceber melhor esta realidade, através da análise das redes sociais, do quadro legal em vigor nesta matéria e das possíveis soluções para o problema em questão.</w:t>
      </w:r>
      <w:r w:rsidRPr="001E6F48">
        <w:rPr>
          <w:rFonts w:ascii="Book Antiqua" w:eastAsia="Calibri" w:hAnsi="Book Antiqua" w:cs="Times New Roman"/>
          <w:b/>
          <w:sz w:val="22"/>
          <w:szCs w:val="22"/>
          <w:highlight w:val="yellow"/>
          <w:lang w:val="pt-PT"/>
        </w:rPr>
        <w:t xml:space="preserve"> </w:t>
      </w:r>
    </w:p>
    <w:p w:rsidR="0037406D" w:rsidRPr="001E6F48" w:rsidRDefault="0037406D" w:rsidP="001E6F48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1E6F48">
        <w:rPr>
          <w:rFonts w:ascii="Book Antiqua" w:eastAsia="Calibri" w:hAnsi="Book Antiqua" w:cs="Times New Roman"/>
          <w:b/>
          <w:sz w:val="22"/>
          <w:szCs w:val="22"/>
          <w:lang w:val="pt-PT"/>
        </w:rPr>
        <w:t>Palavras-chave:</w:t>
      </w:r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 xml:space="preserve"> </w:t>
      </w:r>
      <w:proofErr w:type="spellStart"/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>Protecção</w:t>
      </w:r>
      <w:proofErr w:type="spellEnd"/>
      <w:r w:rsidRPr="001E6F48">
        <w:rPr>
          <w:rFonts w:ascii="Book Antiqua" w:eastAsia="Calibri" w:hAnsi="Book Antiqua" w:cs="Times New Roman"/>
          <w:sz w:val="22"/>
          <w:szCs w:val="22"/>
          <w:lang w:val="pt-PT"/>
        </w:rPr>
        <w:t xml:space="preserve"> de dados pessoais / Menores de idade / Redes sociais</w:t>
      </w:r>
    </w:p>
    <w:p w:rsidR="0037406D" w:rsidRPr="001E6F48" w:rsidRDefault="0037406D" w:rsidP="001E6F48">
      <w:pPr>
        <w:spacing w:before="0" w:line="276" w:lineRule="auto"/>
        <w:rPr>
          <w:rFonts w:ascii="Book Antiqua" w:hAnsi="Book Antiqua"/>
          <w:sz w:val="22"/>
          <w:szCs w:val="22"/>
          <w:lang w:val="pt-PT"/>
        </w:rPr>
      </w:pPr>
    </w:p>
    <w:p w:rsidR="0037406D" w:rsidRPr="001E6F48" w:rsidRDefault="0037406D" w:rsidP="001E6F48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</w:p>
    <w:sectPr w:rsidR="0037406D" w:rsidRPr="001E6F48" w:rsidSect="00600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080904"/>
    <w:rsid w:val="00080904"/>
    <w:rsid w:val="001E6F48"/>
    <w:rsid w:val="002C0595"/>
    <w:rsid w:val="0037406D"/>
    <w:rsid w:val="003B3755"/>
    <w:rsid w:val="006000D4"/>
    <w:rsid w:val="007E6EBA"/>
    <w:rsid w:val="00816083"/>
    <w:rsid w:val="009B7D7C"/>
    <w:rsid w:val="00D7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04"/>
    <w:pPr>
      <w:spacing w:before="120" w:after="0" w:line="360" w:lineRule="auto"/>
      <w:ind w:firstLine="720"/>
      <w:jc w:val="both"/>
    </w:pPr>
    <w:rPr>
      <w:rFonts w:ascii="Times New Roman" w:hAnsi="Times New Roman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08090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80904"/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NormalWeb">
    <w:name w:val="Normal (Web)"/>
    <w:basedOn w:val="Normal"/>
    <w:uiPriority w:val="99"/>
    <w:rsid w:val="0081608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8</cp:revision>
  <dcterms:created xsi:type="dcterms:W3CDTF">2016-08-31T09:10:00Z</dcterms:created>
  <dcterms:modified xsi:type="dcterms:W3CDTF">2016-09-07T01:12:00Z</dcterms:modified>
</cp:coreProperties>
</file>